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E8" w:rsidRPr="00614CDD" w:rsidRDefault="009F6CE8" w:rsidP="009F6CE8">
      <w:pPr>
        <w:pStyle w:val="NormalWeb"/>
        <w:jc w:val="center"/>
        <w:rPr>
          <w:b/>
          <w:sz w:val="26"/>
        </w:rPr>
      </w:pPr>
      <w:proofErr w:type="spellStart"/>
      <w:r w:rsidRPr="00614CDD">
        <w:rPr>
          <w:b/>
          <w:sz w:val="26"/>
        </w:rPr>
        <w:t>Maha</w:t>
      </w:r>
      <w:proofErr w:type="spellEnd"/>
      <w:r w:rsidRPr="00614CDD">
        <w:rPr>
          <w:b/>
          <w:sz w:val="26"/>
        </w:rPr>
        <w:t xml:space="preserve"> </w:t>
      </w:r>
      <w:proofErr w:type="spellStart"/>
      <w:r w:rsidRPr="00614CDD">
        <w:rPr>
          <w:b/>
          <w:sz w:val="26"/>
        </w:rPr>
        <w:t>Mangala</w:t>
      </w:r>
      <w:proofErr w:type="spellEnd"/>
      <w:r w:rsidRPr="00614CDD">
        <w:rPr>
          <w:b/>
          <w:sz w:val="26"/>
        </w:rPr>
        <w:t xml:space="preserve"> </w:t>
      </w:r>
      <w:proofErr w:type="spellStart"/>
      <w:r w:rsidRPr="00614CDD">
        <w:rPr>
          <w:b/>
          <w:sz w:val="26"/>
        </w:rPr>
        <w:t>Sutta</w:t>
      </w:r>
      <w:proofErr w:type="spellEnd"/>
    </w:p>
    <w:p w:rsidR="009F6CE8" w:rsidRPr="00FC23DD" w:rsidRDefault="009F6CE8" w:rsidP="00470C84">
      <w:pPr>
        <w:pStyle w:val="NormalWeb"/>
        <w:rPr>
          <w:rFonts w:ascii="Georgia" w:hAnsi="Georgia"/>
          <w:sz w:val="20"/>
          <w:szCs w:val="20"/>
        </w:rPr>
      </w:pPr>
      <w:r w:rsidRPr="00614CDD">
        <w:rPr>
          <w:rFonts w:ascii="Georgia" w:hAnsi="Georgia"/>
          <w:sz w:val="22"/>
          <w:szCs w:val="20"/>
        </w:rPr>
        <w:t xml:space="preserve">The </w:t>
      </w:r>
      <w:proofErr w:type="spellStart"/>
      <w:r w:rsidR="00470C84" w:rsidRPr="00614CDD">
        <w:rPr>
          <w:rFonts w:ascii="Georgia" w:hAnsi="Georgia"/>
          <w:b/>
          <w:i/>
          <w:sz w:val="22"/>
          <w:szCs w:val="20"/>
        </w:rPr>
        <w:t>Maha</w:t>
      </w:r>
      <w:proofErr w:type="spellEnd"/>
      <w:r w:rsidR="00470C84" w:rsidRPr="00614CDD">
        <w:rPr>
          <w:rFonts w:ascii="Georgia" w:hAnsi="Georgia"/>
          <w:b/>
          <w:i/>
          <w:sz w:val="22"/>
          <w:szCs w:val="20"/>
        </w:rPr>
        <w:t xml:space="preserve"> </w:t>
      </w:r>
      <w:proofErr w:type="spellStart"/>
      <w:r w:rsidRPr="00614CDD">
        <w:rPr>
          <w:rFonts w:ascii="Georgia" w:hAnsi="Georgia"/>
          <w:b/>
          <w:bCs/>
          <w:i/>
          <w:iCs/>
          <w:sz w:val="22"/>
          <w:szCs w:val="20"/>
        </w:rPr>
        <w:t>Mangala</w:t>
      </w:r>
      <w:proofErr w:type="spellEnd"/>
      <w:r w:rsidRPr="00614CDD">
        <w:rPr>
          <w:rFonts w:ascii="Georgia" w:hAnsi="Georgia"/>
          <w:b/>
          <w:bCs/>
          <w:i/>
          <w:iCs/>
          <w:sz w:val="22"/>
          <w:szCs w:val="20"/>
        </w:rPr>
        <w:t xml:space="preserve"> </w:t>
      </w:r>
      <w:proofErr w:type="spellStart"/>
      <w:r w:rsidRPr="00614CDD">
        <w:rPr>
          <w:rFonts w:ascii="Georgia" w:hAnsi="Georgia"/>
          <w:b/>
          <w:bCs/>
          <w:i/>
          <w:iCs/>
          <w:sz w:val="22"/>
          <w:szCs w:val="20"/>
        </w:rPr>
        <w:t>Sutta</w:t>
      </w:r>
      <w:proofErr w:type="spellEnd"/>
      <w:r w:rsidRPr="00614CDD">
        <w:rPr>
          <w:rFonts w:ascii="Georgia" w:hAnsi="Georgia"/>
          <w:sz w:val="22"/>
          <w:szCs w:val="20"/>
        </w:rPr>
        <w:t xml:space="preserve"> is a discourse of the Buddha on the subject of blessings</w:t>
      </w:r>
      <w:r w:rsidR="00470C84" w:rsidRPr="00614CDD">
        <w:rPr>
          <w:rFonts w:ascii="Georgia" w:hAnsi="Georgia"/>
          <w:sz w:val="22"/>
          <w:szCs w:val="20"/>
        </w:rPr>
        <w:t xml:space="preserve">. </w:t>
      </w:r>
      <w:r w:rsidR="00FE77D3" w:rsidRPr="00614CDD">
        <w:rPr>
          <w:rFonts w:ascii="Georgia" w:hAnsi="Georgia"/>
          <w:sz w:val="22"/>
          <w:szCs w:val="20"/>
        </w:rPr>
        <w:t>T</w:t>
      </w:r>
      <w:r w:rsidRPr="00614CDD">
        <w:rPr>
          <w:rFonts w:ascii="Georgia" w:hAnsi="Georgia"/>
          <w:sz w:val="22"/>
          <w:szCs w:val="20"/>
        </w:rPr>
        <w:t xml:space="preserve">he Buddha describes blessings that are wholesome personal pursuits or attainments, identified in a progressive manner from the mundane to the ultimate spiritual goal. </w:t>
      </w:r>
      <w:r w:rsidR="00FC23DD" w:rsidRPr="00614CDD">
        <w:rPr>
          <w:rFonts w:ascii="Georgia" w:hAnsi="Georgia"/>
          <w:sz w:val="22"/>
          <w:szCs w:val="20"/>
        </w:rPr>
        <w:t>It is r</w:t>
      </w:r>
      <w:r w:rsidRPr="00614CDD">
        <w:rPr>
          <w:rFonts w:ascii="Georgia" w:hAnsi="Georgia"/>
          <w:sz w:val="22"/>
          <w:szCs w:val="20"/>
        </w:rPr>
        <w:t xml:space="preserve">ecorded in </w:t>
      </w:r>
      <w:r w:rsidR="00FC23DD" w:rsidRPr="00614CDD">
        <w:rPr>
          <w:rFonts w:ascii="Georgia" w:hAnsi="Georgia"/>
          <w:sz w:val="22"/>
          <w:szCs w:val="20"/>
        </w:rPr>
        <w:t xml:space="preserve">the </w:t>
      </w:r>
      <w:hyperlink r:id="rId5" w:tooltip="Khuddaka Nikaya" w:history="1">
        <w:proofErr w:type="spellStart"/>
        <w:r w:rsidRPr="00614CDD">
          <w:rPr>
            <w:rStyle w:val="Hyperlink"/>
            <w:rFonts w:ascii="Georgia" w:hAnsi="Georgia"/>
            <w:i/>
            <w:color w:val="auto"/>
            <w:sz w:val="22"/>
            <w:szCs w:val="20"/>
            <w:u w:val="none"/>
          </w:rPr>
          <w:t>Khuddaka</w:t>
        </w:r>
        <w:proofErr w:type="spellEnd"/>
        <w:r w:rsidRPr="00614CDD">
          <w:rPr>
            <w:rStyle w:val="Hyperlink"/>
            <w:rFonts w:ascii="Georgia" w:hAnsi="Georgia"/>
            <w:i/>
            <w:color w:val="auto"/>
            <w:sz w:val="22"/>
            <w:szCs w:val="20"/>
            <w:u w:val="none"/>
          </w:rPr>
          <w:t xml:space="preserve"> </w:t>
        </w:r>
        <w:proofErr w:type="spellStart"/>
        <w:r w:rsidRPr="00614CDD">
          <w:rPr>
            <w:rStyle w:val="Hyperlink"/>
            <w:rFonts w:ascii="Georgia" w:hAnsi="Georgia"/>
            <w:i/>
            <w:color w:val="auto"/>
            <w:sz w:val="22"/>
            <w:szCs w:val="20"/>
            <w:u w:val="none"/>
          </w:rPr>
          <w:t>Nikaya</w:t>
        </w:r>
        <w:proofErr w:type="spellEnd"/>
      </w:hyperlink>
      <w:r w:rsidR="00FC23DD" w:rsidRPr="00614CDD">
        <w:rPr>
          <w:rFonts w:ascii="Georgia" w:hAnsi="Georgia"/>
          <w:i/>
          <w:sz w:val="22"/>
          <w:szCs w:val="20"/>
        </w:rPr>
        <w:t xml:space="preserve"> </w:t>
      </w:r>
      <w:r w:rsidR="00FC23DD" w:rsidRPr="00614CDD">
        <w:rPr>
          <w:rFonts w:ascii="Georgia" w:hAnsi="Georgia"/>
          <w:sz w:val="22"/>
          <w:szCs w:val="20"/>
        </w:rPr>
        <w:t>of the Pali canon</w:t>
      </w:r>
      <w:r w:rsidR="00A62FEF" w:rsidRPr="00614CDD">
        <w:rPr>
          <w:rFonts w:ascii="Georgia" w:hAnsi="Georgia"/>
          <w:sz w:val="22"/>
          <w:szCs w:val="20"/>
        </w:rPr>
        <w:t xml:space="preserve"> and </w:t>
      </w:r>
      <w:r w:rsidRPr="00614CDD">
        <w:rPr>
          <w:rFonts w:ascii="Georgia" w:hAnsi="Georgia"/>
          <w:sz w:val="22"/>
          <w:szCs w:val="20"/>
        </w:rPr>
        <w:t xml:space="preserve">was preached at </w:t>
      </w:r>
      <w:hyperlink r:id="rId6" w:tooltip="Jetavana" w:history="1">
        <w:proofErr w:type="spellStart"/>
        <w:r w:rsidRPr="00614CDD">
          <w:rPr>
            <w:rFonts w:ascii="Georgia" w:hAnsi="Georgia"/>
            <w:sz w:val="22"/>
            <w:szCs w:val="20"/>
          </w:rPr>
          <w:t>Jetavana</w:t>
        </w:r>
        <w:proofErr w:type="spellEnd"/>
      </w:hyperlink>
      <w:r w:rsidRPr="00614CDD">
        <w:rPr>
          <w:rFonts w:ascii="Georgia" w:hAnsi="Georgia"/>
          <w:sz w:val="22"/>
          <w:szCs w:val="20"/>
        </w:rPr>
        <w:t xml:space="preserve"> Temple in answer to a question </w:t>
      </w:r>
      <w:r w:rsidR="00A62FEF" w:rsidRPr="00614CDD">
        <w:rPr>
          <w:rFonts w:ascii="Georgia" w:hAnsi="Georgia"/>
          <w:sz w:val="22"/>
          <w:szCs w:val="20"/>
        </w:rPr>
        <w:t xml:space="preserve">as </w:t>
      </w:r>
      <w:r w:rsidRPr="00614CDD">
        <w:rPr>
          <w:rFonts w:ascii="Georgia" w:hAnsi="Georgia"/>
          <w:sz w:val="22"/>
          <w:szCs w:val="20"/>
        </w:rPr>
        <w:t>to which things in this world could truly be considered blessings (</w:t>
      </w:r>
      <w:proofErr w:type="spellStart"/>
      <w:r w:rsidRPr="00614CDD">
        <w:rPr>
          <w:rFonts w:ascii="Georgia" w:hAnsi="Georgia"/>
          <w:i/>
          <w:iCs/>
          <w:sz w:val="22"/>
          <w:szCs w:val="20"/>
        </w:rPr>
        <w:t>mangalāni</w:t>
      </w:r>
      <w:proofErr w:type="spellEnd"/>
      <w:r w:rsidRPr="00614CDD">
        <w:rPr>
          <w:rFonts w:ascii="Georgia" w:hAnsi="Georgia"/>
          <w:sz w:val="22"/>
          <w:szCs w:val="20"/>
        </w:rPr>
        <w:t xml:space="preserve">). The </w:t>
      </w:r>
      <w:proofErr w:type="spellStart"/>
      <w:r w:rsidRPr="00614CDD">
        <w:rPr>
          <w:rFonts w:ascii="Georgia" w:hAnsi="Georgia"/>
          <w:sz w:val="22"/>
          <w:szCs w:val="20"/>
        </w:rPr>
        <w:t>sutta</w:t>
      </w:r>
      <w:proofErr w:type="spellEnd"/>
      <w:r w:rsidRPr="00614CDD">
        <w:rPr>
          <w:rFonts w:ascii="Georgia" w:hAnsi="Georgia"/>
          <w:sz w:val="22"/>
          <w:szCs w:val="20"/>
        </w:rPr>
        <w:t xml:space="preserve"> describes thirty-eight blessings in ten sections, as shown in the table below</w:t>
      </w:r>
      <w:r w:rsidR="00A62FEF" w:rsidRPr="00614CDD">
        <w:rPr>
          <w:rFonts w:ascii="Georgia" w:hAnsi="Georgia"/>
          <w:sz w:val="22"/>
          <w:szCs w:val="20"/>
        </w:rPr>
        <w:t>. The 38 blessings are an unfailing guide for life's journey</w:t>
      </w:r>
      <w:r w:rsidR="00614CDD" w:rsidRPr="00614CDD">
        <w:rPr>
          <w:rFonts w:ascii="Georgia" w:hAnsi="Georgia"/>
          <w:sz w:val="22"/>
          <w:szCs w:val="20"/>
        </w:rPr>
        <w:t>, leading to peace and harmony</w:t>
      </w:r>
      <w:r w:rsidR="00A62FEF" w:rsidRPr="00614CDD">
        <w:rPr>
          <w:rFonts w:ascii="Georgia" w:hAnsi="Georgia"/>
          <w:sz w:val="22"/>
          <w:szCs w:val="20"/>
        </w:rPr>
        <w:t>. Starting with "avoidance of bad company" which is basic to moral and spiritual progress, the blessings culminate in the achievement of a passion-free mind, unshakable in its serenity. To follow the ideals set forth in these verses would be a sure way to harmony and progress for the individual as well as for society, nation, and humankind. The 38 blessings can be organized under moral culture (</w:t>
      </w:r>
      <w:proofErr w:type="spellStart"/>
      <w:r w:rsidR="00A62FEF" w:rsidRPr="00614CDD">
        <w:rPr>
          <w:rFonts w:ascii="Georgia" w:hAnsi="Georgia"/>
          <w:i/>
          <w:sz w:val="22"/>
          <w:szCs w:val="20"/>
        </w:rPr>
        <w:t>sila</w:t>
      </w:r>
      <w:proofErr w:type="spellEnd"/>
      <w:r w:rsidR="00A62FEF" w:rsidRPr="00614CDD">
        <w:rPr>
          <w:rFonts w:ascii="Georgia" w:hAnsi="Georgia"/>
          <w:sz w:val="22"/>
          <w:szCs w:val="20"/>
        </w:rPr>
        <w:t>) [21], mental culture (</w:t>
      </w:r>
      <w:proofErr w:type="spellStart"/>
      <w:r w:rsidR="00A62FEF" w:rsidRPr="00614CDD">
        <w:rPr>
          <w:rFonts w:ascii="Georgia" w:hAnsi="Georgia"/>
          <w:i/>
          <w:sz w:val="22"/>
          <w:szCs w:val="20"/>
        </w:rPr>
        <w:t>samadhi</w:t>
      </w:r>
      <w:proofErr w:type="spellEnd"/>
      <w:r w:rsidR="00A62FEF" w:rsidRPr="00614CDD">
        <w:rPr>
          <w:rFonts w:ascii="Georgia" w:hAnsi="Georgia"/>
          <w:sz w:val="22"/>
          <w:szCs w:val="20"/>
        </w:rPr>
        <w:t>) [9], and wisdom culture (</w:t>
      </w:r>
      <w:proofErr w:type="spellStart"/>
      <w:r w:rsidR="00A62FEF" w:rsidRPr="00614CDD">
        <w:rPr>
          <w:rFonts w:ascii="Georgia" w:hAnsi="Georgia"/>
          <w:i/>
          <w:sz w:val="22"/>
          <w:szCs w:val="20"/>
        </w:rPr>
        <w:t>pana</w:t>
      </w:r>
      <w:proofErr w:type="spellEnd"/>
      <w:r w:rsidR="00A62FEF" w:rsidRPr="00614CDD">
        <w:rPr>
          <w:rFonts w:ascii="Georgia" w:hAnsi="Georgia"/>
          <w:sz w:val="22"/>
          <w:szCs w:val="20"/>
        </w:rPr>
        <w:t xml:space="preserve">) </w:t>
      </w:r>
      <w:r w:rsidR="00614CDD" w:rsidRPr="00614CDD">
        <w:rPr>
          <w:rFonts w:ascii="Georgia" w:hAnsi="Georgia"/>
          <w:sz w:val="22"/>
          <w:szCs w:val="20"/>
        </w:rPr>
        <w:t>[</w:t>
      </w:r>
      <w:r w:rsidR="00A62FEF" w:rsidRPr="00614CDD">
        <w:rPr>
          <w:rFonts w:ascii="Georgia" w:hAnsi="Georgia"/>
          <w:sz w:val="22"/>
          <w:szCs w:val="20"/>
        </w:rPr>
        <w:t>8</w:t>
      </w:r>
      <w:r w:rsidR="00614CDD" w:rsidRPr="00614CDD">
        <w:rPr>
          <w:rFonts w:ascii="Georgia" w:hAnsi="Georgia"/>
          <w:sz w:val="22"/>
          <w:szCs w:val="20"/>
        </w:rPr>
        <w:t>]</w:t>
      </w:r>
      <w:r w:rsidR="00A62FEF" w:rsidRPr="00614CDD">
        <w:rPr>
          <w:rFonts w:ascii="Georgia" w:hAnsi="Georgia"/>
          <w:sz w:val="22"/>
          <w:szCs w:val="20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862"/>
        <w:gridCol w:w="3074"/>
        <w:gridCol w:w="3118"/>
        <w:gridCol w:w="3325"/>
        <w:gridCol w:w="2629"/>
        <w:gridCol w:w="2344"/>
      </w:tblGrid>
      <w:tr w:rsidR="00614CDD" w:rsidRPr="00FC23DD" w:rsidTr="000C2415">
        <w:trPr>
          <w:jc w:val="center"/>
        </w:trPr>
        <w:tc>
          <w:tcPr>
            <w:tcW w:w="0" w:type="auto"/>
          </w:tcPr>
          <w:p w:rsidR="00470C84" w:rsidRPr="00FC23DD" w:rsidRDefault="00470C84" w:rsidP="00614CDD">
            <w:pPr>
              <w:pStyle w:val="NormalWeb"/>
              <w:jc w:val="center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Group 1</w:t>
            </w:r>
          </w:p>
        </w:tc>
        <w:tc>
          <w:tcPr>
            <w:tcW w:w="3074" w:type="dxa"/>
          </w:tcPr>
          <w:p w:rsidR="00470C84" w:rsidRPr="00FC23DD" w:rsidRDefault="00470C84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Not associating with fools</w:t>
            </w:r>
          </w:p>
        </w:tc>
        <w:tc>
          <w:tcPr>
            <w:tcW w:w="3118" w:type="dxa"/>
          </w:tcPr>
          <w:p w:rsidR="00470C84" w:rsidRPr="00FC23DD" w:rsidRDefault="006E0670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Associating with the wise</w:t>
            </w:r>
          </w:p>
        </w:tc>
        <w:tc>
          <w:tcPr>
            <w:tcW w:w="3325" w:type="dxa"/>
          </w:tcPr>
          <w:p w:rsidR="00470C84" w:rsidRPr="00FC23DD" w:rsidRDefault="006E0670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Expressing respect to those worthy of respect</w:t>
            </w:r>
          </w:p>
        </w:tc>
        <w:tc>
          <w:tcPr>
            <w:tcW w:w="2629" w:type="dxa"/>
          </w:tcPr>
          <w:p w:rsidR="00470C84" w:rsidRPr="00FC23DD" w:rsidRDefault="00470C84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4" w:type="dxa"/>
          </w:tcPr>
          <w:p w:rsidR="00470C84" w:rsidRPr="00FC23DD" w:rsidRDefault="00470C84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</w:p>
        </w:tc>
      </w:tr>
      <w:tr w:rsidR="00614CDD" w:rsidRPr="00FC23DD" w:rsidTr="000C2415">
        <w:trPr>
          <w:jc w:val="center"/>
        </w:trPr>
        <w:tc>
          <w:tcPr>
            <w:tcW w:w="0" w:type="auto"/>
          </w:tcPr>
          <w:p w:rsidR="00470C84" w:rsidRPr="00FC23DD" w:rsidRDefault="00470C84" w:rsidP="00614CDD">
            <w:pPr>
              <w:pStyle w:val="NormalWeb"/>
              <w:jc w:val="center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Group 2</w:t>
            </w:r>
          </w:p>
        </w:tc>
        <w:tc>
          <w:tcPr>
            <w:tcW w:w="3074" w:type="dxa"/>
          </w:tcPr>
          <w:p w:rsidR="00470C84" w:rsidRPr="00FC23DD" w:rsidRDefault="006E0670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Living in an amenable location</w:t>
            </w:r>
            <w:r w:rsidR="00614CDD">
              <w:rPr>
                <w:rFonts w:ascii="Georgia" w:hAnsi="Georgia"/>
                <w:sz w:val="20"/>
                <w:szCs w:val="20"/>
              </w:rPr>
              <w:t xml:space="preserve"> – that is, residence in a suitable locality</w:t>
            </w:r>
          </w:p>
        </w:tc>
        <w:tc>
          <w:tcPr>
            <w:tcW w:w="3118" w:type="dxa"/>
          </w:tcPr>
          <w:p w:rsidR="00470C84" w:rsidRPr="00FC23DD" w:rsidRDefault="006E0670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Having meritorious deeds in one's past</w:t>
            </w:r>
            <w:r w:rsidR="00614CDD">
              <w:rPr>
                <w:rFonts w:ascii="Georgia" w:hAnsi="Georgia"/>
                <w:sz w:val="20"/>
                <w:szCs w:val="20"/>
              </w:rPr>
              <w:t xml:space="preserve"> – having made merit in the past</w:t>
            </w:r>
          </w:p>
        </w:tc>
        <w:tc>
          <w:tcPr>
            <w:tcW w:w="3325" w:type="dxa"/>
          </w:tcPr>
          <w:p w:rsidR="00470C84" w:rsidRPr="00FC23DD" w:rsidRDefault="006E0670" w:rsidP="006E0670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Setting oneself up properly in life – one's mind properly directed</w:t>
            </w:r>
          </w:p>
        </w:tc>
        <w:tc>
          <w:tcPr>
            <w:tcW w:w="2629" w:type="dxa"/>
          </w:tcPr>
          <w:p w:rsidR="00470C84" w:rsidRPr="00FC23DD" w:rsidRDefault="00470C84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4" w:type="dxa"/>
          </w:tcPr>
          <w:p w:rsidR="00470C84" w:rsidRPr="00FC23DD" w:rsidRDefault="00470C84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</w:p>
        </w:tc>
      </w:tr>
      <w:tr w:rsidR="00614CDD" w:rsidRPr="00FC23DD" w:rsidTr="000C2415">
        <w:trPr>
          <w:jc w:val="center"/>
        </w:trPr>
        <w:tc>
          <w:tcPr>
            <w:tcW w:w="0" w:type="auto"/>
          </w:tcPr>
          <w:p w:rsidR="00470C84" w:rsidRPr="00FC23DD" w:rsidRDefault="00470C84" w:rsidP="00614CDD">
            <w:pPr>
              <w:pStyle w:val="NormalWeb"/>
              <w:jc w:val="center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Group 3</w:t>
            </w:r>
          </w:p>
        </w:tc>
        <w:tc>
          <w:tcPr>
            <w:tcW w:w="3074" w:type="dxa"/>
          </w:tcPr>
          <w:p w:rsidR="00470C84" w:rsidRPr="00FC23DD" w:rsidRDefault="006E0670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Learnedness</w:t>
            </w:r>
          </w:p>
        </w:tc>
        <w:tc>
          <w:tcPr>
            <w:tcW w:w="3118" w:type="dxa"/>
          </w:tcPr>
          <w:p w:rsidR="00470C84" w:rsidRPr="00FC23DD" w:rsidRDefault="00614CDD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</w:t>
            </w:r>
            <w:r w:rsidR="006E0670" w:rsidRPr="00FC23DD">
              <w:rPr>
                <w:rFonts w:ascii="Georgia" w:hAnsi="Georgia"/>
                <w:sz w:val="20"/>
                <w:szCs w:val="20"/>
              </w:rPr>
              <w:t>roficiency in one's work</w:t>
            </w:r>
          </w:p>
        </w:tc>
        <w:tc>
          <w:tcPr>
            <w:tcW w:w="3325" w:type="dxa"/>
          </w:tcPr>
          <w:p w:rsidR="00470C84" w:rsidRPr="00FC23DD" w:rsidRDefault="006E0670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Self-discipline – well-learned moral discipline</w:t>
            </w:r>
          </w:p>
        </w:tc>
        <w:tc>
          <w:tcPr>
            <w:tcW w:w="2629" w:type="dxa"/>
          </w:tcPr>
          <w:p w:rsidR="00470C84" w:rsidRPr="00FC23DD" w:rsidRDefault="006E0670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Artful speech – gracious, kindly speech</w:t>
            </w:r>
          </w:p>
        </w:tc>
        <w:tc>
          <w:tcPr>
            <w:tcW w:w="2344" w:type="dxa"/>
          </w:tcPr>
          <w:p w:rsidR="00470C84" w:rsidRPr="00FC23DD" w:rsidRDefault="00470C84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</w:p>
        </w:tc>
      </w:tr>
      <w:tr w:rsidR="00614CDD" w:rsidRPr="00FC23DD" w:rsidTr="000C2415">
        <w:trPr>
          <w:jc w:val="center"/>
        </w:trPr>
        <w:tc>
          <w:tcPr>
            <w:tcW w:w="0" w:type="auto"/>
          </w:tcPr>
          <w:p w:rsidR="00470C84" w:rsidRPr="00FC23DD" w:rsidRDefault="00470C84" w:rsidP="00614CDD">
            <w:pPr>
              <w:pStyle w:val="NormalWeb"/>
              <w:jc w:val="center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Group 4</w:t>
            </w:r>
          </w:p>
        </w:tc>
        <w:tc>
          <w:tcPr>
            <w:tcW w:w="3074" w:type="dxa"/>
          </w:tcPr>
          <w:p w:rsidR="00470C84" w:rsidRPr="00FC23DD" w:rsidRDefault="00614CDD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</w:t>
            </w:r>
            <w:r w:rsidR="006E0670" w:rsidRPr="00FC23DD">
              <w:rPr>
                <w:rFonts w:ascii="Georgia" w:hAnsi="Georgia"/>
                <w:sz w:val="20"/>
                <w:szCs w:val="20"/>
              </w:rPr>
              <w:t>iving support to parents</w:t>
            </w:r>
          </w:p>
        </w:tc>
        <w:tc>
          <w:tcPr>
            <w:tcW w:w="3118" w:type="dxa"/>
          </w:tcPr>
          <w:p w:rsidR="00470C84" w:rsidRPr="00FC23DD" w:rsidRDefault="006E0670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Cherishing one's children and spouse</w:t>
            </w:r>
          </w:p>
        </w:tc>
        <w:tc>
          <w:tcPr>
            <w:tcW w:w="3325" w:type="dxa"/>
          </w:tcPr>
          <w:p w:rsidR="00470C84" w:rsidRPr="00FC23DD" w:rsidRDefault="00614CDD" w:rsidP="00614CDD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</w:t>
            </w:r>
            <w:r w:rsidR="006E0670" w:rsidRPr="00FC23DD">
              <w:rPr>
                <w:rFonts w:ascii="Georgia" w:hAnsi="Georgia"/>
                <w:sz w:val="20"/>
                <w:szCs w:val="20"/>
              </w:rPr>
              <w:t xml:space="preserve">usiness pursuits that </w:t>
            </w:r>
            <w:r>
              <w:rPr>
                <w:rFonts w:ascii="Georgia" w:hAnsi="Georgia"/>
                <w:sz w:val="20"/>
                <w:szCs w:val="20"/>
              </w:rPr>
              <w:t xml:space="preserve">are </w:t>
            </w:r>
            <w:r w:rsidR="006E0670" w:rsidRPr="00FC23DD">
              <w:rPr>
                <w:rFonts w:ascii="Georgia" w:hAnsi="Georgia"/>
                <w:sz w:val="20"/>
                <w:szCs w:val="20"/>
              </w:rPr>
              <w:t>peaceful and free from conflicts</w:t>
            </w:r>
          </w:p>
        </w:tc>
        <w:tc>
          <w:tcPr>
            <w:tcW w:w="2629" w:type="dxa"/>
          </w:tcPr>
          <w:p w:rsidR="00470C84" w:rsidRPr="00FC23DD" w:rsidRDefault="00470C84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4" w:type="dxa"/>
          </w:tcPr>
          <w:p w:rsidR="00470C84" w:rsidRPr="00FC23DD" w:rsidRDefault="00470C84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</w:p>
        </w:tc>
      </w:tr>
      <w:tr w:rsidR="00614CDD" w:rsidRPr="00FC23DD" w:rsidTr="000C2415">
        <w:trPr>
          <w:jc w:val="center"/>
        </w:trPr>
        <w:tc>
          <w:tcPr>
            <w:tcW w:w="0" w:type="auto"/>
          </w:tcPr>
          <w:p w:rsidR="00470C84" w:rsidRPr="00FC23DD" w:rsidRDefault="00470C84" w:rsidP="00614CDD">
            <w:pPr>
              <w:pStyle w:val="NormalWeb"/>
              <w:jc w:val="center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Group 5</w:t>
            </w:r>
          </w:p>
        </w:tc>
        <w:tc>
          <w:tcPr>
            <w:tcW w:w="3074" w:type="dxa"/>
          </w:tcPr>
          <w:p w:rsidR="00470C84" w:rsidRPr="00FC23DD" w:rsidRDefault="006E0670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Generosity – acts of giving</w:t>
            </w:r>
          </w:p>
        </w:tc>
        <w:tc>
          <w:tcPr>
            <w:tcW w:w="3118" w:type="dxa"/>
          </w:tcPr>
          <w:p w:rsidR="00470C84" w:rsidRPr="00FC23DD" w:rsidRDefault="00C35A8D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C23DD">
              <w:rPr>
                <w:rFonts w:ascii="Georgia" w:hAnsi="Georgia"/>
                <w:sz w:val="20"/>
                <w:szCs w:val="20"/>
              </w:rPr>
              <w:t>Dhamma</w:t>
            </w:r>
            <w:proofErr w:type="spellEnd"/>
            <w:r w:rsidRPr="00FC23DD">
              <w:rPr>
                <w:rFonts w:ascii="Georgia" w:hAnsi="Georgia"/>
                <w:sz w:val="20"/>
                <w:szCs w:val="20"/>
              </w:rPr>
              <w:t xml:space="preserve"> practice – conduct according to the </w:t>
            </w:r>
            <w:proofErr w:type="spellStart"/>
            <w:r w:rsidRPr="00FC23DD">
              <w:rPr>
                <w:rFonts w:ascii="Georgia" w:hAnsi="Georgia"/>
                <w:sz w:val="20"/>
                <w:szCs w:val="20"/>
              </w:rPr>
              <w:t>Dhamma</w:t>
            </w:r>
            <w:proofErr w:type="spellEnd"/>
          </w:p>
        </w:tc>
        <w:tc>
          <w:tcPr>
            <w:tcW w:w="3325" w:type="dxa"/>
          </w:tcPr>
          <w:p w:rsidR="00470C84" w:rsidRPr="00FC23DD" w:rsidRDefault="00C35A8D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Caring for extended family – helping one's relatives</w:t>
            </w:r>
          </w:p>
        </w:tc>
        <w:tc>
          <w:tcPr>
            <w:tcW w:w="2629" w:type="dxa"/>
          </w:tcPr>
          <w:p w:rsidR="00470C84" w:rsidRPr="00FC23DD" w:rsidRDefault="00C35A8D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Blameless actions and work</w:t>
            </w:r>
          </w:p>
        </w:tc>
        <w:tc>
          <w:tcPr>
            <w:tcW w:w="2344" w:type="dxa"/>
          </w:tcPr>
          <w:p w:rsidR="00470C84" w:rsidRPr="00FC23DD" w:rsidRDefault="00470C84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</w:p>
        </w:tc>
      </w:tr>
      <w:tr w:rsidR="00614CDD" w:rsidRPr="00FC23DD" w:rsidTr="000C2415">
        <w:trPr>
          <w:jc w:val="center"/>
        </w:trPr>
        <w:tc>
          <w:tcPr>
            <w:tcW w:w="0" w:type="auto"/>
          </w:tcPr>
          <w:p w:rsidR="00470C84" w:rsidRPr="00FC23DD" w:rsidRDefault="00470C84" w:rsidP="00614CDD">
            <w:pPr>
              <w:pStyle w:val="NormalWeb"/>
              <w:jc w:val="center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Group 6</w:t>
            </w:r>
          </w:p>
        </w:tc>
        <w:tc>
          <w:tcPr>
            <w:tcW w:w="3074" w:type="dxa"/>
          </w:tcPr>
          <w:p w:rsidR="00470C84" w:rsidRPr="00FC23DD" w:rsidRDefault="00C35A8D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Avoiding unwholesomeness – shunning evil</w:t>
            </w:r>
          </w:p>
        </w:tc>
        <w:tc>
          <w:tcPr>
            <w:tcW w:w="3118" w:type="dxa"/>
          </w:tcPr>
          <w:p w:rsidR="00470C84" w:rsidRPr="00FC23DD" w:rsidRDefault="00C35A8D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Abstaining from evil</w:t>
            </w:r>
          </w:p>
        </w:tc>
        <w:tc>
          <w:tcPr>
            <w:tcW w:w="3325" w:type="dxa"/>
          </w:tcPr>
          <w:p w:rsidR="00470C84" w:rsidRPr="00FC23DD" w:rsidRDefault="00C35A8D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Refraining from and not drinking intoxicants</w:t>
            </w:r>
          </w:p>
        </w:tc>
        <w:tc>
          <w:tcPr>
            <w:tcW w:w="2629" w:type="dxa"/>
          </w:tcPr>
          <w:p w:rsidR="00470C84" w:rsidRPr="00FC23DD" w:rsidRDefault="00C35A8D" w:rsidP="00C35A8D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 xml:space="preserve">Diligence in practicing the </w:t>
            </w:r>
            <w:proofErr w:type="spellStart"/>
            <w:r w:rsidRPr="00FC23DD">
              <w:rPr>
                <w:rFonts w:ascii="Georgia" w:hAnsi="Georgia"/>
                <w:sz w:val="20"/>
                <w:szCs w:val="20"/>
              </w:rPr>
              <w:t>Dhamma</w:t>
            </w:r>
            <w:proofErr w:type="spellEnd"/>
          </w:p>
        </w:tc>
        <w:tc>
          <w:tcPr>
            <w:tcW w:w="2344" w:type="dxa"/>
          </w:tcPr>
          <w:p w:rsidR="00470C84" w:rsidRPr="00FC23DD" w:rsidRDefault="00470C84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</w:p>
        </w:tc>
      </w:tr>
      <w:tr w:rsidR="00614CDD" w:rsidRPr="00FC23DD" w:rsidTr="000C2415">
        <w:trPr>
          <w:jc w:val="center"/>
        </w:trPr>
        <w:tc>
          <w:tcPr>
            <w:tcW w:w="0" w:type="auto"/>
          </w:tcPr>
          <w:p w:rsidR="00470C84" w:rsidRPr="00FC23DD" w:rsidRDefault="00470C84" w:rsidP="00614CDD">
            <w:pPr>
              <w:pStyle w:val="NormalWeb"/>
              <w:jc w:val="center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Group 7</w:t>
            </w:r>
          </w:p>
        </w:tc>
        <w:tc>
          <w:tcPr>
            <w:tcW w:w="3074" w:type="dxa"/>
          </w:tcPr>
          <w:p w:rsidR="00470C84" w:rsidRPr="00FC23DD" w:rsidRDefault="00C35A8D" w:rsidP="00614CDD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 xml:space="preserve">Respect – reverence </w:t>
            </w:r>
          </w:p>
        </w:tc>
        <w:tc>
          <w:tcPr>
            <w:tcW w:w="3118" w:type="dxa"/>
          </w:tcPr>
          <w:p w:rsidR="00470C84" w:rsidRPr="00FC23DD" w:rsidRDefault="00C35A8D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Humility</w:t>
            </w:r>
          </w:p>
        </w:tc>
        <w:tc>
          <w:tcPr>
            <w:tcW w:w="3325" w:type="dxa"/>
          </w:tcPr>
          <w:p w:rsidR="00470C84" w:rsidRPr="00FC23DD" w:rsidRDefault="00C35A8D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Contentment</w:t>
            </w:r>
          </w:p>
        </w:tc>
        <w:tc>
          <w:tcPr>
            <w:tcW w:w="2629" w:type="dxa"/>
          </w:tcPr>
          <w:p w:rsidR="00470C84" w:rsidRPr="00FC23DD" w:rsidRDefault="00C35A8D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Gratitude</w:t>
            </w:r>
          </w:p>
        </w:tc>
        <w:tc>
          <w:tcPr>
            <w:tcW w:w="2344" w:type="dxa"/>
          </w:tcPr>
          <w:p w:rsidR="00470C84" w:rsidRPr="00FC23DD" w:rsidRDefault="00C35A8D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 xml:space="preserve">Listening regularly to </w:t>
            </w:r>
            <w:proofErr w:type="spellStart"/>
            <w:r w:rsidRPr="00FC23DD">
              <w:rPr>
                <w:rFonts w:ascii="Georgia" w:hAnsi="Georgia"/>
                <w:sz w:val="20"/>
                <w:szCs w:val="20"/>
              </w:rPr>
              <w:t>Dhamma</w:t>
            </w:r>
            <w:proofErr w:type="spellEnd"/>
            <w:r w:rsidRPr="00FC23DD">
              <w:rPr>
                <w:rFonts w:ascii="Georgia" w:hAnsi="Georgia"/>
                <w:sz w:val="20"/>
                <w:szCs w:val="20"/>
              </w:rPr>
              <w:t xml:space="preserve"> teachings – timely hearing of the </w:t>
            </w:r>
            <w:proofErr w:type="spellStart"/>
            <w:r w:rsidRPr="00FC23DD">
              <w:rPr>
                <w:rFonts w:ascii="Georgia" w:hAnsi="Georgia"/>
                <w:sz w:val="20"/>
                <w:szCs w:val="20"/>
              </w:rPr>
              <w:t>Dhamma</w:t>
            </w:r>
            <w:proofErr w:type="spellEnd"/>
          </w:p>
        </w:tc>
      </w:tr>
      <w:tr w:rsidR="00614CDD" w:rsidRPr="00FC23DD" w:rsidTr="000C2415">
        <w:trPr>
          <w:jc w:val="center"/>
        </w:trPr>
        <w:tc>
          <w:tcPr>
            <w:tcW w:w="0" w:type="auto"/>
          </w:tcPr>
          <w:p w:rsidR="00470C84" w:rsidRPr="00FC23DD" w:rsidRDefault="00470C84" w:rsidP="00614CDD">
            <w:pPr>
              <w:pStyle w:val="NormalWeb"/>
              <w:jc w:val="center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Group 8</w:t>
            </w:r>
          </w:p>
        </w:tc>
        <w:tc>
          <w:tcPr>
            <w:tcW w:w="3074" w:type="dxa"/>
          </w:tcPr>
          <w:p w:rsidR="00470C84" w:rsidRPr="00FC23DD" w:rsidRDefault="00C35A8D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Patience</w:t>
            </w:r>
          </w:p>
        </w:tc>
        <w:tc>
          <w:tcPr>
            <w:tcW w:w="3118" w:type="dxa"/>
          </w:tcPr>
          <w:p w:rsidR="00470C84" w:rsidRPr="00FC23DD" w:rsidRDefault="00C35A8D" w:rsidP="00C35A8D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Openness to criticism – meekness when corrected</w:t>
            </w:r>
          </w:p>
        </w:tc>
        <w:tc>
          <w:tcPr>
            <w:tcW w:w="3325" w:type="dxa"/>
          </w:tcPr>
          <w:p w:rsidR="00470C84" w:rsidRPr="00FC23DD" w:rsidRDefault="00FE77D3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Meeting (seeing) monks</w:t>
            </w:r>
          </w:p>
        </w:tc>
        <w:tc>
          <w:tcPr>
            <w:tcW w:w="2629" w:type="dxa"/>
          </w:tcPr>
          <w:p w:rsidR="00470C84" w:rsidRPr="00FC23DD" w:rsidRDefault="00FE77D3" w:rsidP="00FE77D3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 xml:space="preserve">Discussing the </w:t>
            </w:r>
            <w:proofErr w:type="spellStart"/>
            <w:r w:rsidRPr="00FC23DD">
              <w:rPr>
                <w:rFonts w:ascii="Georgia" w:hAnsi="Georgia"/>
                <w:sz w:val="20"/>
                <w:szCs w:val="20"/>
              </w:rPr>
              <w:t>Dhamma</w:t>
            </w:r>
            <w:proofErr w:type="spellEnd"/>
            <w:r w:rsidRPr="00FC23DD">
              <w:rPr>
                <w:rFonts w:ascii="Georgia" w:hAnsi="Georgia"/>
                <w:sz w:val="20"/>
                <w:szCs w:val="20"/>
              </w:rPr>
              <w:t xml:space="preserve"> at the proper time</w:t>
            </w:r>
          </w:p>
        </w:tc>
        <w:tc>
          <w:tcPr>
            <w:tcW w:w="2344" w:type="dxa"/>
          </w:tcPr>
          <w:p w:rsidR="00470C84" w:rsidRPr="00FC23DD" w:rsidRDefault="00470C84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</w:p>
        </w:tc>
      </w:tr>
      <w:tr w:rsidR="00614CDD" w:rsidRPr="00FC23DD" w:rsidTr="000C2415">
        <w:trPr>
          <w:jc w:val="center"/>
        </w:trPr>
        <w:tc>
          <w:tcPr>
            <w:tcW w:w="0" w:type="auto"/>
          </w:tcPr>
          <w:p w:rsidR="00470C84" w:rsidRPr="00FC23DD" w:rsidRDefault="00470C84" w:rsidP="00614CDD">
            <w:pPr>
              <w:pStyle w:val="NormalWeb"/>
              <w:jc w:val="center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Group 9</w:t>
            </w:r>
          </w:p>
        </w:tc>
        <w:tc>
          <w:tcPr>
            <w:tcW w:w="3074" w:type="dxa"/>
          </w:tcPr>
          <w:p w:rsidR="00470C84" w:rsidRPr="00FC23DD" w:rsidRDefault="00FE77D3" w:rsidP="00FE77D3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Practising austerities – energetic self-restraint</w:t>
            </w:r>
          </w:p>
        </w:tc>
        <w:tc>
          <w:tcPr>
            <w:tcW w:w="3118" w:type="dxa"/>
          </w:tcPr>
          <w:p w:rsidR="00470C84" w:rsidRPr="00FC23DD" w:rsidRDefault="00FE77D3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Holy and chaste life</w:t>
            </w:r>
          </w:p>
        </w:tc>
        <w:tc>
          <w:tcPr>
            <w:tcW w:w="3325" w:type="dxa"/>
          </w:tcPr>
          <w:p w:rsidR="00470C84" w:rsidRPr="00FC23DD" w:rsidRDefault="00FE77D3" w:rsidP="00FE77D3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Insight into the Four Noble Truths</w:t>
            </w:r>
          </w:p>
        </w:tc>
        <w:tc>
          <w:tcPr>
            <w:tcW w:w="2629" w:type="dxa"/>
          </w:tcPr>
          <w:p w:rsidR="00470C84" w:rsidRPr="00FC23DD" w:rsidRDefault="00FE77D3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 xml:space="preserve">Realization of </w:t>
            </w:r>
            <w:proofErr w:type="spellStart"/>
            <w:r w:rsidRPr="00FC23DD">
              <w:rPr>
                <w:rFonts w:ascii="Georgia" w:hAnsi="Georgia"/>
                <w:sz w:val="20"/>
                <w:szCs w:val="20"/>
              </w:rPr>
              <w:t>Nibbana</w:t>
            </w:r>
            <w:proofErr w:type="spellEnd"/>
          </w:p>
        </w:tc>
        <w:tc>
          <w:tcPr>
            <w:tcW w:w="2344" w:type="dxa"/>
          </w:tcPr>
          <w:p w:rsidR="00470C84" w:rsidRPr="00FC23DD" w:rsidRDefault="00470C84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</w:p>
        </w:tc>
      </w:tr>
      <w:tr w:rsidR="00614CDD" w:rsidRPr="00FC23DD" w:rsidTr="000C2415">
        <w:trPr>
          <w:jc w:val="center"/>
        </w:trPr>
        <w:tc>
          <w:tcPr>
            <w:tcW w:w="0" w:type="auto"/>
          </w:tcPr>
          <w:p w:rsidR="00470C84" w:rsidRPr="00FC23DD" w:rsidRDefault="00470C84" w:rsidP="00614CDD">
            <w:pPr>
              <w:pStyle w:val="NormalWeb"/>
              <w:jc w:val="center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Group 10</w:t>
            </w:r>
          </w:p>
        </w:tc>
        <w:tc>
          <w:tcPr>
            <w:tcW w:w="3074" w:type="dxa"/>
          </w:tcPr>
          <w:p w:rsidR="00470C84" w:rsidRPr="00FC23DD" w:rsidRDefault="00FE77D3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Mind free of worldly vicissitudes – a mind unshaken by the ups and downs of life</w:t>
            </w:r>
          </w:p>
        </w:tc>
        <w:tc>
          <w:tcPr>
            <w:tcW w:w="3118" w:type="dxa"/>
          </w:tcPr>
          <w:p w:rsidR="00470C84" w:rsidRPr="00FC23DD" w:rsidRDefault="00FE77D3" w:rsidP="00FE77D3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Freedom from sorrow – sorrowlessness</w:t>
            </w:r>
          </w:p>
        </w:tc>
        <w:tc>
          <w:tcPr>
            <w:tcW w:w="3325" w:type="dxa"/>
          </w:tcPr>
          <w:p w:rsidR="00470C84" w:rsidRPr="00FC23DD" w:rsidRDefault="00FE77D3" w:rsidP="00614CDD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Freedom from defilements of passion</w:t>
            </w:r>
          </w:p>
        </w:tc>
        <w:tc>
          <w:tcPr>
            <w:tcW w:w="2629" w:type="dxa"/>
          </w:tcPr>
          <w:p w:rsidR="00470C84" w:rsidRPr="00FC23DD" w:rsidRDefault="00FE77D3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FC23DD">
              <w:rPr>
                <w:rFonts w:ascii="Georgia" w:hAnsi="Georgia"/>
                <w:sz w:val="20"/>
                <w:szCs w:val="20"/>
              </w:rPr>
              <w:t>Perfect security – blissful mind</w:t>
            </w:r>
          </w:p>
        </w:tc>
        <w:tc>
          <w:tcPr>
            <w:tcW w:w="2344" w:type="dxa"/>
          </w:tcPr>
          <w:p w:rsidR="00470C84" w:rsidRPr="00FC23DD" w:rsidRDefault="00470C84" w:rsidP="00470C84">
            <w:pPr>
              <w:pStyle w:val="NormalWeb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942"/>
        <w:gridCol w:w="13960"/>
        <w:gridCol w:w="45"/>
      </w:tblGrid>
      <w:tr w:rsidR="009F6CE8" w:rsidRPr="00FC23DD" w:rsidTr="009F6CE8">
        <w:trPr>
          <w:tblCellSpacing w:w="15" w:type="dxa"/>
        </w:trPr>
        <w:tc>
          <w:tcPr>
            <w:tcW w:w="0" w:type="auto"/>
            <w:hideMark/>
          </w:tcPr>
          <w:p w:rsidR="009F6CE8" w:rsidRPr="00FC23DD" w:rsidRDefault="009F6CE8" w:rsidP="009F6C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9F6CE8" w:rsidRPr="00FC23DD" w:rsidRDefault="009F6CE8" w:rsidP="009F6C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9F6CE8" w:rsidRPr="00FC23DD" w:rsidRDefault="009F6CE8" w:rsidP="009F6C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9F6CE8" w:rsidRPr="00FC23DD" w:rsidRDefault="009F6CE8" w:rsidP="009F6C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9F6CE8" w:rsidRPr="00FC23DD" w:rsidRDefault="009F6CE8" w:rsidP="009F6C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gridSpan w:val="2"/>
            <w:hideMark/>
          </w:tcPr>
          <w:p w:rsidR="009F6CE8" w:rsidRPr="00FC23DD" w:rsidRDefault="009F6CE8" w:rsidP="009F6C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</w:pPr>
          </w:p>
        </w:tc>
      </w:tr>
      <w:tr w:rsidR="009F6CE8" w:rsidRPr="00FC23DD" w:rsidTr="009F6CE8">
        <w:trPr>
          <w:gridAfter w:val="1"/>
          <w:tblCellSpacing w:w="15" w:type="dxa"/>
        </w:trPr>
        <w:tc>
          <w:tcPr>
            <w:tcW w:w="0" w:type="auto"/>
            <w:hideMark/>
          </w:tcPr>
          <w:p w:rsidR="009F6CE8" w:rsidRPr="00FC23DD" w:rsidRDefault="009F6CE8" w:rsidP="009F6C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9F6CE8" w:rsidRPr="00FC23DD" w:rsidRDefault="009F6CE8" w:rsidP="009F6C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9F6CE8" w:rsidRPr="00FC23DD" w:rsidRDefault="009F6CE8" w:rsidP="009F6C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9F6CE8" w:rsidRPr="00FC23DD" w:rsidRDefault="009F6CE8" w:rsidP="009F6C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9F6CE8" w:rsidRPr="00FC23DD" w:rsidRDefault="00FC23DD" w:rsidP="009F6C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</w:pPr>
            <w:r w:rsidRPr="00A62FEF">
              <w:rPr>
                <w:rFonts w:ascii="Georgia" w:eastAsia="Times New Roman" w:hAnsi="Georgia" w:cs="Times New Roman"/>
                <w:b/>
                <w:sz w:val="20"/>
                <w:szCs w:val="20"/>
                <w:lang w:eastAsia="en-AU"/>
              </w:rPr>
              <w:t>Source</w:t>
            </w:r>
            <w:r w:rsidR="00A62FEF">
              <w:rPr>
                <w:rFonts w:ascii="Georgia" w:eastAsia="Times New Roman" w:hAnsi="Georgia" w:cs="Times New Roman"/>
                <w:b/>
                <w:sz w:val="20"/>
                <w:szCs w:val="20"/>
                <w:lang w:eastAsia="en-AU"/>
              </w:rPr>
              <w:t>s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  <w:t xml:space="preserve">:  </w:t>
            </w:r>
          </w:p>
        </w:tc>
        <w:tc>
          <w:tcPr>
            <w:tcW w:w="0" w:type="auto"/>
            <w:hideMark/>
          </w:tcPr>
          <w:p w:rsidR="009F6CE8" w:rsidRPr="00FC23DD" w:rsidRDefault="00FC23DD" w:rsidP="00A62FE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</w:pPr>
            <w:r w:rsidRPr="00FC23DD"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  <w:t xml:space="preserve">"Life's Highest Blessings: The </w:t>
            </w:r>
            <w:proofErr w:type="spellStart"/>
            <w:r w:rsidRPr="00FC23DD"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  <w:t>Maha</w:t>
            </w:r>
            <w:proofErr w:type="spellEnd"/>
            <w:r w:rsidRPr="00FC23DD"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C23DD"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  <w:t>Mangala</w:t>
            </w:r>
            <w:proofErr w:type="spellEnd"/>
            <w:r w:rsidRPr="00FC23DD"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C23DD"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  <w:t>Sutta</w:t>
            </w:r>
            <w:proofErr w:type="spellEnd"/>
            <w:r w:rsidRPr="00FC23DD"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  <w:t xml:space="preserve">", translation and </w:t>
            </w:r>
            <w:r w:rsidR="00A62FEF"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  <w:t>c</w:t>
            </w:r>
            <w:r w:rsidRPr="00FC23DD"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  <w:t xml:space="preserve">ommentary by Dr. R.L. </w:t>
            </w:r>
            <w:proofErr w:type="spellStart"/>
            <w:r w:rsidRPr="00FC23DD"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  <w:t>Soni</w:t>
            </w:r>
            <w:proofErr w:type="spellEnd"/>
            <w:r w:rsidRPr="00FC23DD"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  <w:t xml:space="preserve">, revised by </w:t>
            </w:r>
            <w:proofErr w:type="spellStart"/>
            <w:r w:rsidRPr="00FC23DD"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  <w:t>Bhikkhu</w:t>
            </w:r>
            <w:proofErr w:type="spellEnd"/>
            <w:r w:rsidRPr="00FC23DD"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C23DD"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  <w:t>Khantipalo</w:t>
            </w:r>
            <w:proofErr w:type="spellEnd"/>
            <w:r w:rsidRPr="00FC23DD"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  <w:t>. Access to Insight, 1 December 2012, http://www.accesstoinsight.org/lib/authors/soni/</w:t>
            </w:r>
            <w:proofErr w:type="gramStart"/>
            <w:r w:rsidRPr="00FC23DD"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  <w:t>wheel254.html .</w:t>
            </w:r>
            <w:proofErr w:type="gramEnd"/>
            <w:r w:rsidRPr="00FC23DD"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  <w:t xml:space="preserve"> Retrieved on 7 August 2013.</w:t>
            </w:r>
          </w:p>
        </w:tc>
      </w:tr>
      <w:tr w:rsidR="009F6CE8" w:rsidRPr="00FC23DD" w:rsidTr="009F6CE8">
        <w:trPr>
          <w:tblCellSpacing w:w="15" w:type="dxa"/>
        </w:trPr>
        <w:tc>
          <w:tcPr>
            <w:tcW w:w="0" w:type="auto"/>
            <w:hideMark/>
          </w:tcPr>
          <w:p w:rsidR="009F6CE8" w:rsidRPr="00FC23DD" w:rsidRDefault="009F6CE8" w:rsidP="009F6C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9F6CE8" w:rsidRPr="00FC23DD" w:rsidRDefault="009F6CE8" w:rsidP="009F6C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9F6CE8" w:rsidRPr="00FC23DD" w:rsidRDefault="009F6CE8" w:rsidP="009F6C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9F6CE8" w:rsidRPr="00FC23DD" w:rsidRDefault="009F6CE8" w:rsidP="009F6C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9F6CE8" w:rsidRPr="00FC23DD" w:rsidRDefault="009F6CE8" w:rsidP="009F6C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gridSpan w:val="2"/>
            <w:hideMark/>
          </w:tcPr>
          <w:p w:rsidR="009F6CE8" w:rsidRPr="00FC23DD" w:rsidRDefault="009F6CE8" w:rsidP="009F6C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AU"/>
              </w:rPr>
            </w:pPr>
          </w:p>
        </w:tc>
      </w:tr>
    </w:tbl>
    <w:p w:rsidR="009730A7" w:rsidRPr="00FC23DD" w:rsidRDefault="00A62FE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Also, </w:t>
      </w:r>
      <w:r w:rsidRPr="00FC23DD">
        <w:rPr>
          <w:rFonts w:ascii="Georgia" w:hAnsi="Georgia"/>
          <w:sz w:val="20"/>
          <w:szCs w:val="20"/>
        </w:rPr>
        <w:t>http://www.buddhanet.net/e-learning/ethics_</w:t>
      </w:r>
      <w:proofErr w:type="gramStart"/>
      <w:r w:rsidRPr="00FC23DD">
        <w:rPr>
          <w:rFonts w:ascii="Georgia" w:hAnsi="Georgia"/>
          <w:sz w:val="20"/>
          <w:szCs w:val="20"/>
        </w:rPr>
        <w:t>m.htm</w:t>
      </w:r>
      <w:r w:rsidR="00614CDD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>and</w:t>
      </w:r>
      <w:proofErr w:type="gramEnd"/>
      <w:r w:rsidR="00614CDD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</w:t>
      </w:r>
      <w:r w:rsidR="009F6CE8" w:rsidRPr="00FC23DD">
        <w:rPr>
          <w:rFonts w:ascii="Georgia" w:hAnsi="Georgia"/>
          <w:sz w:val="20"/>
          <w:szCs w:val="20"/>
        </w:rPr>
        <w:t>http://en.wikipedia.org/wiki/Mangala_Sutta</w:t>
      </w:r>
    </w:p>
    <w:sectPr w:rsidR="009730A7" w:rsidRPr="00FC23DD" w:rsidSect="00614C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D7E"/>
    <w:multiLevelType w:val="multilevel"/>
    <w:tmpl w:val="D4EE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76256"/>
    <w:multiLevelType w:val="multilevel"/>
    <w:tmpl w:val="8D4C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B4C84"/>
    <w:multiLevelType w:val="multilevel"/>
    <w:tmpl w:val="596C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D0F71"/>
    <w:multiLevelType w:val="multilevel"/>
    <w:tmpl w:val="4398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E16AF"/>
    <w:multiLevelType w:val="multilevel"/>
    <w:tmpl w:val="F53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2528C"/>
    <w:multiLevelType w:val="multilevel"/>
    <w:tmpl w:val="2B9E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E617B"/>
    <w:multiLevelType w:val="multilevel"/>
    <w:tmpl w:val="E19E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E7162"/>
    <w:multiLevelType w:val="multilevel"/>
    <w:tmpl w:val="3386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C74A8"/>
    <w:multiLevelType w:val="multilevel"/>
    <w:tmpl w:val="5CC6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E3518"/>
    <w:multiLevelType w:val="multilevel"/>
    <w:tmpl w:val="212E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6CE8"/>
    <w:rsid w:val="000C2415"/>
    <w:rsid w:val="00381B09"/>
    <w:rsid w:val="00470C84"/>
    <w:rsid w:val="00614CDD"/>
    <w:rsid w:val="006E0670"/>
    <w:rsid w:val="00813EFD"/>
    <w:rsid w:val="009730A7"/>
    <w:rsid w:val="009F6CE8"/>
    <w:rsid w:val="00A62FEF"/>
    <w:rsid w:val="00AD00D9"/>
    <w:rsid w:val="00B12DE5"/>
    <w:rsid w:val="00C35A8D"/>
    <w:rsid w:val="00CC0A2B"/>
    <w:rsid w:val="00FC23DD"/>
    <w:rsid w:val="00FE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FD"/>
  </w:style>
  <w:style w:type="paragraph" w:styleId="Heading1">
    <w:name w:val="heading 1"/>
    <w:basedOn w:val="Normal"/>
    <w:next w:val="Normal"/>
    <w:link w:val="Heading1Char"/>
    <w:uiPriority w:val="9"/>
    <w:qFormat/>
    <w:rsid w:val="009F6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F6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6CE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F6C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w-headline">
    <w:name w:val="mw-headline"/>
    <w:basedOn w:val="DefaultParagraphFont"/>
    <w:rsid w:val="009F6CE8"/>
  </w:style>
  <w:style w:type="character" w:customStyle="1" w:styleId="mw-editsection1">
    <w:name w:val="mw-editsection1"/>
    <w:basedOn w:val="DefaultParagraphFont"/>
    <w:rsid w:val="009F6CE8"/>
  </w:style>
  <w:style w:type="character" w:customStyle="1" w:styleId="mw-editsection-bracket">
    <w:name w:val="mw-editsection-bracket"/>
    <w:basedOn w:val="DefaultParagraphFont"/>
    <w:rsid w:val="009F6CE8"/>
  </w:style>
  <w:style w:type="character" w:customStyle="1" w:styleId="Heading1Char">
    <w:name w:val="Heading 1 Char"/>
    <w:basedOn w:val="DefaultParagraphFont"/>
    <w:link w:val="Heading1"/>
    <w:uiPriority w:val="9"/>
    <w:rsid w:val="009F6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icode">
    <w:name w:val="unicode"/>
    <w:basedOn w:val="DefaultParagraphFont"/>
    <w:rsid w:val="009F6CE8"/>
  </w:style>
  <w:style w:type="table" w:styleId="TableGrid">
    <w:name w:val="Table Grid"/>
    <w:basedOn w:val="TableNormal"/>
    <w:uiPriority w:val="59"/>
    <w:rsid w:val="0047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3106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98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AAAAA"/>
                        <w:left w:val="single" w:sz="2" w:space="1" w:color="AAAAAA"/>
                        <w:bottom w:val="single" w:sz="2" w:space="1" w:color="AAAAAA"/>
                        <w:right w:val="single" w:sz="2" w:space="1" w:color="AAAAAA"/>
                      </w:divBdr>
                    </w:div>
                    <w:div w:id="1978339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AAAAA"/>
                        <w:left w:val="single" w:sz="2" w:space="1" w:color="AAAAAA"/>
                        <w:bottom w:val="single" w:sz="2" w:space="1" w:color="AAAAAA"/>
                        <w:right w:val="single" w:sz="2" w:space="1" w:color="AAAAAA"/>
                      </w:divBdr>
                    </w:div>
                    <w:div w:id="2963001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AAAAA"/>
                        <w:left w:val="single" w:sz="2" w:space="1" w:color="AAAAAA"/>
                        <w:bottom w:val="single" w:sz="2" w:space="1" w:color="AAAAAA"/>
                        <w:right w:val="single" w:sz="2" w:space="1" w:color="AAAAAA"/>
                      </w:divBdr>
                    </w:div>
                    <w:div w:id="1833256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AAAAA"/>
                        <w:left w:val="single" w:sz="2" w:space="1" w:color="AAAAAA"/>
                        <w:bottom w:val="single" w:sz="2" w:space="1" w:color="AAAAAA"/>
                        <w:right w:val="single" w:sz="2" w:space="1" w:color="AAAAAA"/>
                      </w:divBdr>
                    </w:div>
                    <w:div w:id="15344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Jetavana" TargetMode="External"/><Relationship Id="rId5" Type="http://schemas.openxmlformats.org/officeDocument/2006/relationships/hyperlink" Target="http://en.wikipedia.org/wiki/Khuddaka_Nik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2014-03-02T00:11:00Z</dcterms:created>
  <dcterms:modified xsi:type="dcterms:W3CDTF">2014-03-03T06:16:00Z</dcterms:modified>
</cp:coreProperties>
</file>